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507F1B" w:rsidP="008729FD">
            <w:pPr>
              <w:rPr>
                <w:b/>
                <w:sz w:val="28"/>
                <w:szCs w:val="28"/>
                <w:lang w:val="lv-LV"/>
              </w:rPr>
            </w:pPr>
            <w:r>
              <w:rPr>
                <w:b/>
                <w:sz w:val="28"/>
                <w:szCs w:val="28"/>
                <w:lang w:val="lv-LV"/>
              </w:rPr>
              <w:t>ENVIRONMENTAL ART</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8C0012" w:rsidP="00933C39">
            <w:pPr>
              <w:rPr>
                <w:b/>
                <w:sz w:val="28"/>
                <w:szCs w:val="28"/>
                <w:lang w:val="lv-LV"/>
              </w:rPr>
            </w:pPr>
            <w:r w:rsidRPr="00471385">
              <w:rPr>
                <w:b/>
                <w:sz w:val="28"/>
                <w:szCs w:val="28"/>
                <w:lang w:val="lv-LV"/>
              </w:rPr>
              <w:t>2</w:t>
            </w:r>
            <w:r w:rsidR="00933C39">
              <w:rPr>
                <w:b/>
                <w:sz w:val="28"/>
                <w:szCs w:val="28"/>
                <w:lang w:val="lv-LV"/>
              </w:rPr>
              <w:t>nd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507F1B">
            <w:pPr>
              <w:rPr>
                <w:lang w:val="lv-LV"/>
              </w:rPr>
            </w:pPr>
            <w:r w:rsidRPr="008C0012">
              <w:rPr>
                <w:lang w:val="lv-LV"/>
              </w:rPr>
              <w:t>MākZ</w:t>
            </w:r>
            <w:r w:rsidR="00507F1B">
              <w:rPr>
                <w:lang w:val="lv-LV"/>
              </w:rPr>
              <w:t>2163</w:t>
            </w:r>
          </w:p>
        </w:tc>
        <w:tc>
          <w:tcPr>
            <w:tcW w:w="6379" w:type="dxa"/>
            <w:shd w:val="clear" w:color="auto" w:fill="E5B8B7" w:themeFill="accent2" w:themeFillTint="66"/>
          </w:tcPr>
          <w:p w:rsidR="00536191" w:rsidRPr="00536191" w:rsidRDefault="00507F1B" w:rsidP="001E2B45">
            <w:pPr>
              <w:rPr>
                <w:b/>
                <w:lang w:val="lv-LV"/>
              </w:rPr>
            </w:pPr>
            <w:r>
              <w:rPr>
                <w:b/>
                <w:lang w:val="lv-LV"/>
              </w:rPr>
              <w:t>Projecting 1</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E5B8B7" w:themeFill="accent2" w:themeFillTint="66"/>
          </w:tcPr>
          <w:p w:rsidR="00536191" w:rsidRDefault="00536191" w:rsidP="00507F1B">
            <w:pPr>
              <w:rPr>
                <w:lang w:val="lv-LV"/>
              </w:rPr>
            </w:pPr>
            <w:r w:rsidRPr="008C0012">
              <w:rPr>
                <w:lang w:val="lv-LV"/>
              </w:rPr>
              <w:t>MākZ</w:t>
            </w:r>
            <w:r w:rsidR="00507F1B">
              <w:rPr>
                <w:lang w:val="lv-LV"/>
              </w:rPr>
              <w:t>2045</w:t>
            </w:r>
          </w:p>
        </w:tc>
        <w:tc>
          <w:tcPr>
            <w:tcW w:w="6379" w:type="dxa"/>
            <w:shd w:val="clear" w:color="auto" w:fill="E5B8B7" w:themeFill="accent2" w:themeFillTint="66"/>
          </w:tcPr>
          <w:p w:rsidR="00536191" w:rsidRPr="00536191" w:rsidRDefault="00507F1B" w:rsidP="001E2B45">
            <w:pPr>
              <w:rPr>
                <w:b/>
                <w:lang w:val="lv-LV"/>
              </w:rPr>
            </w:pPr>
            <w:r>
              <w:rPr>
                <w:b/>
                <w:lang w:val="lv-LV"/>
              </w:rPr>
              <w:t>Computer Graphics</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536191" w:rsidP="00507F1B">
            <w:pPr>
              <w:rPr>
                <w:lang w:val="lv-LV"/>
              </w:rPr>
            </w:pPr>
            <w:r w:rsidRPr="008C0012">
              <w:rPr>
                <w:lang w:val="lv-LV"/>
              </w:rPr>
              <w:t>MākZ</w:t>
            </w:r>
            <w:r w:rsidR="00507F1B">
              <w:rPr>
                <w:lang w:val="lv-LV"/>
              </w:rPr>
              <w:t>2167</w:t>
            </w:r>
          </w:p>
        </w:tc>
        <w:tc>
          <w:tcPr>
            <w:tcW w:w="6379" w:type="dxa"/>
            <w:tcBorders>
              <w:bottom w:val="single" w:sz="4" w:space="0" w:color="auto"/>
            </w:tcBorders>
            <w:shd w:val="clear" w:color="auto" w:fill="E5B8B7" w:themeFill="accent2" w:themeFillTint="66"/>
          </w:tcPr>
          <w:p w:rsidR="00536191" w:rsidRPr="00536191" w:rsidRDefault="00507F1B" w:rsidP="00507F1B">
            <w:pPr>
              <w:rPr>
                <w:b/>
                <w:lang w:val="lv-LV"/>
              </w:rPr>
            </w:pPr>
            <w:r>
              <w:rPr>
                <w:b/>
                <w:lang w:val="lv-LV"/>
              </w:rPr>
              <w:t>Work in Material</w:t>
            </w:r>
          </w:p>
        </w:tc>
        <w:tc>
          <w:tcPr>
            <w:tcW w:w="1479" w:type="dxa"/>
            <w:tcBorders>
              <w:bottom w:val="single" w:sz="4" w:space="0" w:color="auto"/>
            </w:tcBorders>
            <w:shd w:val="clear" w:color="auto" w:fill="E5B8B7" w:themeFill="accent2" w:themeFillTint="66"/>
          </w:tcPr>
          <w:p w:rsidR="00536191" w:rsidRPr="00536191" w:rsidRDefault="00507F1B" w:rsidP="007B5E95">
            <w:pPr>
              <w:jc w:val="center"/>
              <w:rPr>
                <w:b/>
                <w:lang w:val="lv-LV"/>
              </w:rPr>
            </w:pPr>
            <w:r>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8729FD" w:rsidP="00507F1B">
            <w:pPr>
              <w:rPr>
                <w:lang w:val="lv-LV"/>
              </w:rPr>
            </w:pPr>
            <w:r w:rsidRPr="008C0012">
              <w:rPr>
                <w:lang w:val="lv-LV"/>
              </w:rPr>
              <w:t>MākZ</w:t>
            </w:r>
            <w:r w:rsidR="00507F1B">
              <w:rPr>
                <w:lang w:val="lv-LV"/>
              </w:rPr>
              <w:t>4754</w:t>
            </w:r>
          </w:p>
        </w:tc>
        <w:tc>
          <w:tcPr>
            <w:tcW w:w="6379" w:type="dxa"/>
            <w:tcBorders>
              <w:bottom w:val="single" w:sz="4" w:space="0" w:color="auto"/>
            </w:tcBorders>
            <w:shd w:val="clear" w:color="auto" w:fill="E5B8B7" w:themeFill="accent2" w:themeFillTint="66"/>
          </w:tcPr>
          <w:p w:rsidR="008729FD" w:rsidRDefault="00507F1B" w:rsidP="001E2B45">
            <w:pPr>
              <w:rPr>
                <w:b/>
                <w:lang w:val="lv-LV"/>
              </w:rPr>
            </w:pPr>
            <w:r>
              <w:rPr>
                <w:b/>
                <w:lang w:val="lv-LV"/>
              </w:rPr>
              <w:t>Applied Graphics</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7B5E95">
            <w:pPr>
              <w:rPr>
                <w:rFonts w:ascii="Calibri" w:hAnsi="Calibri" w:cs="Calibri"/>
                <w:color w:val="000000"/>
              </w:rPr>
            </w:pPr>
            <w:r>
              <w:rPr>
                <w:rFonts w:ascii="Calibri" w:hAnsi="Calibri" w:cs="Calibri"/>
                <w:color w:val="000000"/>
              </w:rPr>
              <w:t>MākZ2</w:t>
            </w:r>
            <w:r w:rsidR="007B5E95">
              <w:rPr>
                <w:rFonts w:ascii="Calibri" w:hAnsi="Calibri" w:cs="Calibri"/>
                <w:color w:val="000000"/>
              </w:rPr>
              <w:t>331</w:t>
            </w:r>
          </w:p>
        </w:tc>
        <w:tc>
          <w:tcPr>
            <w:tcW w:w="6379" w:type="dxa"/>
            <w:shd w:val="clear" w:color="auto" w:fill="FFFFCC"/>
          </w:tcPr>
          <w:p w:rsidR="00536191" w:rsidRPr="00536191" w:rsidRDefault="00536191" w:rsidP="001E2B45">
            <w:pPr>
              <w:rPr>
                <w:b/>
                <w:lang w:val="lv-LV"/>
              </w:rPr>
            </w:pPr>
            <w:r w:rsidRPr="00536191">
              <w:rPr>
                <w:b/>
                <w:lang w:val="lv-LV"/>
              </w:rPr>
              <w:t>Painting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7B5E95">
            <w:pPr>
              <w:rPr>
                <w:rFonts w:ascii="Calibri" w:hAnsi="Calibri" w:cs="Calibri"/>
                <w:color w:val="000000"/>
              </w:rPr>
            </w:pPr>
            <w:r>
              <w:rPr>
                <w:rFonts w:ascii="Calibri" w:hAnsi="Calibri" w:cs="Calibri"/>
                <w:color w:val="000000"/>
              </w:rPr>
              <w:t>MākZ2</w:t>
            </w:r>
            <w:r w:rsidR="007B5E95">
              <w:rPr>
                <w:rFonts w:ascii="Calibri" w:hAnsi="Calibri" w:cs="Calibri"/>
                <w:color w:val="000000"/>
              </w:rPr>
              <w:t>026</w:t>
            </w:r>
          </w:p>
        </w:tc>
        <w:tc>
          <w:tcPr>
            <w:tcW w:w="6379" w:type="dxa"/>
            <w:shd w:val="clear" w:color="auto" w:fill="FFFFCC"/>
          </w:tcPr>
          <w:p w:rsidR="00536191" w:rsidRPr="00536191" w:rsidRDefault="00536191" w:rsidP="001E2B45">
            <w:pPr>
              <w:rPr>
                <w:b/>
                <w:lang w:val="lv-LV"/>
              </w:rPr>
            </w:pPr>
            <w:r w:rsidRPr="00536191">
              <w:rPr>
                <w:b/>
                <w:lang w:val="lv-LV"/>
              </w:rPr>
              <w:t>Drawing and Sketching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507F1B" w:rsidRDefault="00507F1B" w:rsidP="00B32E1C">
      <w:pPr>
        <w:rPr>
          <w:b/>
          <w:sz w:val="24"/>
          <w:szCs w:val="24"/>
          <w:lang w:val="lv-LV"/>
        </w:rPr>
      </w:pPr>
    </w:p>
    <w:p w:rsidR="00507F1B" w:rsidRDefault="00507F1B"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507F1B" w:rsidP="00D0456B">
            <w:pPr>
              <w:rPr>
                <w:b/>
                <w:lang w:val="lv-LV"/>
              </w:rPr>
            </w:pPr>
            <w:r>
              <w:rPr>
                <w:b/>
                <w:lang w:val="lv-LV"/>
              </w:rPr>
              <w:t>Projecting 1</w:t>
            </w:r>
          </w:p>
        </w:tc>
        <w:tc>
          <w:tcPr>
            <w:tcW w:w="6152" w:type="dxa"/>
            <w:shd w:val="clear" w:color="auto" w:fill="auto"/>
          </w:tcPr>
          <w:p w:rsidR="00662855" w:rsidRPr="00E70047" w:rsidRDefault="00662855" w:rsidP="00D0456B">
            <w:pPr>
              <w:rPr>
                <w:lang w:val="lv-LV"/>
              </w:rPr>
            </w:pPr>
          </w:p>
        </w:tc>
        <w:tc>
          <w:tcPr>
            <w:tcW w:w="1479" w:type="dxa"/>
          </w:tcPr>
          <w:p w:rsidR="00662855" w:rsidRPr="00E70047" w:rsidRDefault="00507F1B" w:rsidP="00D0456B">
            <w:pPr>
              <w:rPr>
                <w:lang w:val="lv-LV"/>
              </w:rPr>
            </w:pPr>
            <w:r>
              <w:rPr>
                <w:lang w:val="lv-LV"/>
              </w:rPr>
              <w:t>Linda Vilka</w:t>
            </w:r>
          </w:p>
        </w:tc>
      </w:tr>
      <w:tr w:rsidR="00662855" w:rsidRPr="00536191" w:rsidTr="00662855">
        <w:tc>
          <w:tcPr>
            <w:tcW w:w="1611" w:type="dxa"/>
            <w:shd w:val="clear" w:color="auto" w:fill="auto"/>
          </w:tcPr>
          <w:p w:rsidR="00662855" w:rsidRPr="00536191" w:rsidRDefault="00507F1B" w:rsidP="00D0456B">
            <w:pPr>
              <w:rPr>
                <w:b/>
                <w:lang w:val="lv-LV"/>
              </w:rPr>
            </w:pPr>
            <w:r>
              <w:rPr>
                <w:b/>
                <w:lang w:val="lv-LV"/>
              </w:rPr>
              <w:t>Computer Graphics</w:t>
            </w:r>
          </w:p>
        </w:tc>
        <w:tc>
          <w:tcPr>
            <w:tcW w:w="6152" w:type="dxa"/>
            <w:shd w:val="clear" w:color="auto" w:fill="auto"/>
          </w:tcPr>
          <w:p w:rsidR="00662855" w:rsidRPr="00D6102D" w:rsidRDefault="00D6102D" w:rsidP="00E70047">
            <w:pPr>
              <w:rPr>
                <w:rFonts w:ascii="Calibri" w:hAnsi="Calibri" w:cs="Calibri"/>
                <w:color w:val="222222"/>
              </w:rPr>
            </w:pPr>
            <w:r>
              <w:rPr>
                <w:rFonts w:ascii="Calibri" w:hAnsi="Calibri" w:cs="Calibri"/>
                <w:color w:val="222222"/>
              </w:rPr>
              <w:t xml:space="preserve">3d </w:t>
            </w:r>
            <w:proofErr w:type="spellStart"/>
            <w:r>
              <w:rPr>
                <w:rFonts w:ascii="Calibri" w:hAnsi="Calibri" w:cs="Calibri"/>
                <w:color w:val="222222"/>
              </w:rPr>
              <w:t>modeling</w:t>
            </w:r>
            <w:proofErr w:type="spellEnd"/>
            <w:r>
              <w:rPr>
                <w:rFonts w:ascii="Calibri" w:hAnsi="Calibri" w:cs="Calibri"/>
                <w:color w:val="222222"/>
              </w:rPr>
              <w:t xml:space="preserve"> in ''Blender'' programme (student can choose to study in beginner, intermediate or advanced level). Alike coding in technical specialities, 3D begins to be omnipresent in the art world, spanning from sketching and planning of anything related to physical bodies, concepts and areas to often being the main tool in crafting of visual experiences in almost any industry and </w:t>
            </w:r>
            <w:proofErr w:type="spellStart"/>
            <w:r>
              <w:rPr>
                <w:rFonts w:ascii="Calibri" w:hAnsi="Calibri" w:cs="Calibri"/>
                <w:color w:val="222222"/>
              </w:rPr>
              <w:t>genere</w:t>
            </w:r>
            <w:proofErr w:type="spellEnd"/>
            <w:r>
              <w:rPr>
                <w:rFonts w:ascii="Calibri" w:hAnsi="Calibri" w:cs="Calibri"/>
                <w:color w:val="222222"/>
              </w:rPr>
              <w:t xml:space="preserve">. Blender is the fastest growing fully-featured 3D package that has reached or surpassed industry leading competitors in many aspects. Also, it is Free Open Source </w:t>
            </w:r>
            <w:proofErr w:type="gramStart"/>
            <w:r>
              <w:rPr>
                <w:rFonts w:ascii="Calibri" w:hAnsi="Calibri" w:cs="Calibri"/>
                <w:color w:val="222222"/>
              </w:rPr>
              <w:t>Software,</w:t>
            </w:r>
            <w:proofErr w:type="gramEnd"/>
            <w:r>
              <w:rPr>
                <w:rFonts w:ascii="Calibri" w:hAnsi="Calibri" w:cs="Calibri"/>
                <w:color w:val="222222"/>
              </w:rPr>
              <w:t xml:space="preserve"> making it the de-facto most used 3D application by both necessity and choice.</w:t>
            </w:r>
          </w:p>
        </w:tc>
        <w:tc>
          <w:tcPr>
            <w:tcW w:w="1479" w:type="dxa"/>
          </w:tcPr>
          <w:p w:rsidR="00662855" w:rsidRPr="00B9554D" w:rsidRDefault="00507F1B" w:rsidP="00E70047">
            <w:pPr>
              <w:rPr>
                <w:lang w:val="lv-LV"/>
              </w:rPr>
            </w:pPr>
            <w:r>
              <w:rPr>
                <w:lang w:val="lv-LV"/>
              </w:rPr>
              <w:t>Konstantīns Višņevskis</w:t>
            </w:r>
          </w:p>
        </w:tc>
      </w:tr>
      <w:tr w:rsidR="00662855" w:rsidRPr="00536191" w:rsidTr="00662855">
        <w:tc>
          <w:tcPr>
            <w:tcW w:w="1611" w:type="dxa"/>
            <w:tcBorders>
              <w:bottom w:val="single" w:sz="4" w:space="0" w:color="auto"/>
            </w:tcBorders>
            <w:shd w:val="clear" w:color="auto" w:fill="auto"/>
          </w:tcPr>
          <w:p w:rsidR="00662855" w:rsidRPr="00536191" w:rsidRDefault="00507F1B" w:rsidP="00D0456B">
            <w:pPr>
              <w:rPr>
                <w:b/>
                <w:lang w:val="lv-LV"/>
              </w:rPr>
            </w:pPr>
            <w:r>
              <w:rPr>
                <w:b/>
                <w:lang w:val="lv-LV"/>
              </w:rPr>
              <w:t>Work in Material</w:t>
            </w:r>
          </w:p>
        </w:tc>
        <w:tc>
          <w:tcPr>
            <w:tcW w:w="6152" w:type="dxa"/>
            <w:tcBorders>
              <w:bottom w:val="single" w:sz="4" w:space="0" w:color="auto"/>
            </w:tcBorders>
            <w:shd w:val="clear" w:color="auto" w:fill="auto"/>
          </w:tcPr>
          <w:p w:rsidR="00662855" w:rsidRPr="007B5E95" w:rsidRDefault="00D6102D" w:rsidP="007B5E95">
            <w:pPr>
              <w:rPr>
                <w:rFonts w:ascii="Calibri" w:hAnsi="Calibri" w:cs="Calibri"/>
                <w:color w:val="000000"/>
              </w:rPr>
            </w:pPr>
            <w:r>
              <w:rPr>
                <w:rFonts w:ascii="Calibri" w:hAnsi="Calibri" w:cs="Calibri"/>
                <w:color w:val="000000"/>
              </w:rPr>
              <w:t xml:space="preserve">In this course we are discussing and practicing methods of ways to create forms in, or from material, using technologies such as 3D printing, CNC cutting, Vacuum forming and </w:t>
            </w:r>
            <w:proofErr w:type="spellStart"/>
            <w:r>
              <w:rPr>
                <w:rFonts w:ascii="Calibri" w:hAnsi="Calibri" w:cs="Calibri"/>
                <w:color w:val="000000"/>
              </w:rPr>
              <w:t>mold</w:t>
            </w:r>
            <w:proofErr w:type="spellEnd"/>
            <w:r>
              <w:rPr>
                <w:rFonts w:ascii="Calibri" w:hAnsi="Calibri" w:cs="Calibri"/>
                <w:color w:val="000000"/>
              </w:rPr>
              <w:t xml:space="preserve"> making. Moreover, using these technologies to create meaningful or abstract artistic practice with the methods that derive from the aim and the given subject.</w:t>
            </w:r>
          </w:p>
        </w:tc>
        <w:tc>
          <w:tcPr>
            <w:tcW w:w="1479" w:type="dxa"/>
            <w:tcBorders>
              <w:bottom w:val="single" w:sz="4" w:space="0" w:color="auto"/>
            </w:tcBorders>
          </w:tcPr>
          <w:p w:rsidR="00662855" w:rsidRPr="00E70047" w:rsidRDefault="00507F1B" w:rsidP="00E70047">
            <w:pPr>
              <w:rPr>
                <w:lang w:val="lv-LV"/>
              </w:rPr>
            </w:pPr>
            <w:r>
              <w:rPr>
                <w:lang w:val="lv-LV"/>
              </w:rPr>
              <w:t>Uģis Albiņš</w:t>
            </w:r>
          </w:p>
        </w:tc>
      </w:tr>
      <w:tr w:rsidR="00662855" w:rsidRPr="00536191" w:rsidTr="00662855">
        <w:tc>
          <w:tcPr>
            <w:tcW w:w="1611" w:type="dxa"/>
            <w:shd w:val="clear" w:color="auto" w:fill="auto"/>
          </w:tcPr>
          <w:p w:rsidR="00662855" w:rsidRPr="00536191" w:rsidRDefault="00507F1B" w:rsidP="00D0456B">
            <w:pPr>
              <w:rPr>
                <w:b/>
                <w:lang w:val="lv-LV"/>
              </w:rPr>
            </w:pPr>
            <w:r>
              <w:rPr>
                <w:b/>
                <w:lang w:val="lv-LV"/>
              </w:rPr>
              <w:t>A</w:t>
            </w:r>
            <w:r w:rsidR="00D6102D">
              <w:rPr>
                <w:b/>
                <w:lang w:val="lv-LV"/>
              </w:rPr>
              <w:t>pplied Graphics</w:t>
            </w:r>
          </w:p>
        </w:tc>
        <w:tc>
          <w:tcPr>
            <w:tcW w:w="6152" w:type="dxa"/>
            <w:shd w:val="clear" w:color="auto" w:fill="auto"/>
          </w:tcPr>
          <w:p w:rsidR="00662855" w:rsidRPr="007B5E95" w:rsidRDefault="00D6102D" w:rsidP="00D6102D">
            <w:pPr>
              <w:rPr>
                <w:rFonts w:ascii="Calibri" w:hAnsi="Calibri" w:cs="Calibri"/>
                <w:color w:val="000000"/>
              </w:rPr>
            </w:pPr>
            <w:r>
              <w:rPr>
                <w:rFonts w:ascii="Calibri" w:hAnsi="Calibri" w:cs="Calibri"/>
                <w:color w:val="000000"/>
              </w:rPr>
              <w:t xml:space="preserve">Exploring the concept of environment and what might be </w:t>
            </w:r>
            <w:proofErr w:type="spellStart"/>
            <w:proofErr w:type="gramStart"/>
            <w:r>
              <w:rPr>
                <w:rFonts w:ascii="Calibri" w:hAnsi="Calibri" w:cs="Calibri"/>
                <w:color w:val="000000"/>
              </w:rPr>
              <w:t>it's</w:t>
            </w:r>
            <w:proofErr w:type="spellEnd"/>
            <w:proofErr w:type="gramEnd"/>
            <w:r>
              <w:rPr>
                <w:rFonts w:ascii="Calibri" w:hAnsi="Calibri" w:cs="Calibri"/>
                <w:color w:val="000000"/>
              </w:rPr>
              <w:t xml:space="preserve"> specific requirements. Learning Adobe Photoshop and Illustrator in intermediate level through technical and creative tasks. </w:t>
            </w:r>
            <w:r>
              <w:rPr>
                <w:rFonts w:ascii="Calibri" w:hAnsi="Calibri" w:cs="Calibri"/>
                <w:color w:val="000000"/>
              </w:rPr>
              <w:tab/>
            </w:r>
          </w:p>
        </w:tc>
        <w:tc>
          <w:tcPr>
            <w:tcW w:w="1479" w:type="dxa"/>
          </w:tcPr>
          <w:p w:rsidR="00662855" w:rsidRPr="00E70047" w:rsidRDefault="00507F1B" w:rsidP="00D0456B">
            <w:pPr>
              <w:rPr>
                <w:lang w:val="lv-LV"/>
              </w:rPr>
            </w:pPr>
            <w:r>
              <w:rPr>
                <w:lang w:val="lv-LV"/>
              </w:rPr>
              <w:t>Līga Spunde</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D6102D">
            <w:pPr>
              <w:rPr>
                <w:lang w:val="lv-LV"/>
              </w:rPr>
            </w:pPr>
            <w:bookmarkStart w:id="0" w:name="_GoBack"/>
            <w:bookmarkEnd w:id="0"/>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 xml:space="preserve">The academic course deals with all the significant events in recent art history, starting from the international conceptual tendencies in the 60s, like land art, minimalism, Art Povera, Nouveaux </w:t>
            </w:r>
            <w:r w:rsidRPr="00E70047">
              <w:rPr>
                <w:lang w:val="lv-LV"/>
              </w:rPr>
              <w:lastRenderedPageBreak/>
              <w:t>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lastRenderedPageBreak/>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lastRenderedPageBreak/>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w:t>
            </w:r>
            <w:r w:rsidRPr="00E70047">
              <w:rPr>
                <w:lang w:val="lv-LV"/>
              </w:rPr>
              <w:lastRenderedPageBreak/>
              <w:t>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lastRenderedPageBreak/>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 xml:space="preserve">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w:t>
            </w:r>
            <w:r w:rsidRPr="004438B4">
              <w:rPr>
                <w:lang w:val="lv-LV"/>
              </w:rPr>
              <w:lastRenderedPageBreak/>
              <w:t>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lastRenderedPageBreak/>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D2" w:rsidRDefault="00CE0FD2" w:rsidP="00471385">
      <w:pPr>
        <w:spacing w:after="0" w:line="240" w:lineRule="auto"/>
      </w:pPr>
      <w:r>
        <w:separator/>
      </w:r>
    </w:p>
  </w:endnote>
  <w:endnote w:type="continuationSeparator" w:id="0">
    <w:p w:rsidR="00CE0FD2" w:rsidRDefault="00CE0FD2"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D2" w:rsidRDefault="00CE0FD2" w:rsidP="00471385">
      <w:pPr>
        <w:spacing w:after="0" w:line="240" w:lineRule="auto"/>
      </w:pPr>
      <w:r>
        <w:separator/>
      </w:r>
    </w:p>
  </w:footnote>
  <w:footnote w:type="continuationSeparator" w:id="0">
    <w:p w:rsidR="00CE0FD2" w:rsidRDefault="00CE0FD2"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7318"/>
    <w:rsid w:val="001D7994"/>
    <w:rsid w:val="00214335"/>
    <w:rsid w:val="00223AF2"/>
    <w:rsid w:val="002309DA"/>
    <w:rsid w:val="00233236"/>
    <w:rsid w:val="002453F8"/>
    <w:rsid w:val="002D7603"/>
    <w:rsid w:val="00301136"/>
    <w:rsid w:val="00310EB7"/>
    <w:rsid w:val="003F7464"/>
    <w:rsid w:val="00426045"/>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902852"/>
    <w:rsid w:val="00933C39"/>
    <w:rsid w:val="0097518E"/>
    <w:rsid w:val="009D2795"/>
    <w:rsid w:val="00A33B0B"/>
    <w:rsid w:val="00A71AB0"/>
    <w:rsid w:val="00AA254F"/>
    <w:rsid w:val="00AC392C"/>
    <w:rsid w:val="00B20D63"/>
    <w:rsid w:val="00B30314"/>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53</cp:revision>
  <dcterms:created xsi:type="dcterms:W3CDTF">2022-09-22T11:46:00Z</dcterms:created>
  <dcterms:modified xsi:type="dcterms:W3CDTF">2022-12-08T08:43:00Z</dcterms:modified>
</cp:coreProperties>
</file>