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507F1B" w:rsidP="008729FD">
            <w:pPr>
              <w:rPr>
                <w:b/>
                <w:sz w:val="28"/>
                <w:szCs w:val="28"/>
                <w:lang w:val="lv-LV"/>
              </w:rPr>
            </w:pPr>
            <w:r>
              <w:rPr>
                <w:b/>
                <w:sz w:val="28"/>
                <w:szCs w:val="28"/>
                <w:lang w:val="lv-LV"/>
              </w:rPr>
              <w:t>ENVIRONMENTAL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724988" w:rsidP="00933C39">
            <w:pPr>
              <w:rPr>
                <w:b/>
                <w:sz w:val="28"/>
                <w:szCs w:val="28"/>
                <w:lang w:val="lv-LV"/>
              </w:rPr>
            </w:pPr>
            <w:r>
              <w:rPr>
                <w:b/>
                <w:sz w:val="28"/>
                <w:szCs w:val="28"/>
                <w:lang w:val="lv-LV"/>
              </w:rPr>
              <w:t>4th</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D975BF">
            <w:pPr>
              <w:rPr>
                <w:lang w:val="lv-LV"/>
              </w:rPr>
            </w:pPr>
            <w:r w:rsidRPr="008C0012">
              <w:rPr>
                <w:lang w:val="lv-LV"/>
              </w:rPr>
              <w:t>MākZ</w:t>
            </w:r>
            <w:r w:rsidR="00D975BF">
              <w:rPr>
                <w:lang w:val="lv-LV"/>
              </w:rPr>
              <w:t>7474</w:t>
            </w:r>
          </w:p>
        </w:tc>
        <w:tc>
          <w:tcPr>
            <w:tcW w:w="6379" w:type="dxa"/>
            <w:shd w:val="clear" w:color="auto" w:fill="E5B8B7" w:themeFill="accent2" w:themeFillTint="66"/>
          </w:tcPr>
          <w:p w:rsidR="00536191" w:rsidRPr="00536191" w:rsidRDefault="00507F1B" w:rsidP="001E2B45">
            <w:pPr>
              <w:rPr>
                <w:b/>
                <w:lang w:val="lv-LV"/>
              </w:rPr>
            </w:pPr>
            <w:r>
              <w:rPr>
                <w:b/>
                <w:lang w:val="lv-LV"/>
              </w:rPr>
              <w:t>Projecting 1</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D975BF">
            <w:pPr>
              <w:rPr>
                <w:lang w:val="lv-LV"/>
              </w:rPr>
            </w:pPr>
            <w:r w:rsidRPr="008C0012">
              <w:rPr>
                <w:lang w:val="lv-LV"/>
              </w:rPr>
              <w:t>MākZ</w:t>
            </w:r>
            <w:r w:rsidR="00507F1B">
              <w:rPr>
                <w:lang w:val="lv-LV"/>
              </w:rPr>
              <w:t>4</w:t>
            </w:r>
            <w:r w:rsidR="00D975BF">
              <w:rPr>
                <w:lang w:val="lv-LV"/>
              </w:rPr>
              <w:t>028</w:t>
            </w:r>
            <w:bookmarkStart w:id="0" w:name="_GoBack"/>
            <w:bookmarkEnd w:id="0"/>
          </w:p>
        </w:tc>
        <w:tc>
          <w:tcPr>
            <w:tcW w:w="6379" w:type="dxa"/>
            <w:tcBorders>
              <w:bottom w:val="single" w:sz="4" w:space="0" w:color="auto"/>
            </w:tcBorders>
            <w:shd w:val="clear" w:color="auto" w:fill="E5B8B7" w:themeFill="accent2" w:themeFillTint="66"/>
          </w:tcPr>
          <w:p w:rsidR="008729FD" w:rsidRDefault="00235C4D" w:rsidP="001E2B45">
            <w:pPr>
              <w:rPr>
                <w:b/>
                <w:lang w:val="lv-LV"/>
              </w:rPr>
            </w:pPr>
            <w:r>
              <w:rPr>
                <w:b/>
                <w:lang w:val="lv-LV"/>
              </w:rPr>
              <w:t>Computer Graphics</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026</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235C4D" w:rsidRDefault="00235C4D" w:rsidP="00B32E1C">
      <w:pPr>
        <w:rPr>
          <w:b/>
          <w:sz w:val="24"/>
          <w:szCs w:val="24"/>
          <w:lang w:val="lv-LV"/>
        </w:rPr>
      </w:pPr>
    </w:p>
    <w:p w:rsidR="00724988" w:rsidRDefault="00724988"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507F1B" w:rsidP="00D0456B">
            <w:pPr>
              <w:rPr>
                <w:b/>
                <w:lang w:val="lv-LV"/>
              </w:rPr>
            </w:pPr>
            <w:r>
              <w:rPr>
                <w:b/>
                <w:lang w:val="lv-LV"/>
              </w:rPr>
              <w:t>Projecting 1</w:t>
            </w:r>
          </w:p>
        </w:tc>
        <w:tc>
          <w:tcPr>
            <w:tcW w:w="6152" w:type="dxa"/>
            <w:shd w:val="clear" w:color="auto" w:fill="auto"/>
          </w:tcPr>
          <w:p w:rsidR="00662855" w:rsidRPr="00724988" w:rsidRDefault="00724988" w:rsidP="00D0456B">
            <w:pPr>
              <w:rPr>
                <w:rFonts w:ascii="Calibri" w:hAnsi="Calibri" w:cs="Calibri"/>
                <w:color w:val="000000"/>
              </w:rPr>
            </w:pPr>
            <w:r>
              <w:rPr>
                <w:rFonts w:ascii="Calibri" w:hAnsi="Calibri" w:cs="Calibri"/>
                <w:color w:val="000000"/>
              </w:rPr>
              <w:t>Small form architecture.</w:t>
            </w:r>
          </w:p>
        </w:tc>
        <w:tc>
          <w:tcPr>
            <w:tcW w:w="1479" w:type="dxa"/>
          </w:tcPr>
          <w:p w:rsidR="00662855" w:rsidRPr="00E70047" w:rsidRDefault="00724988" w:rsidP="00D0456B">
            <w:pPr>
              <w:rPr>
                <w:lang w:val="lv-LV"/>
              </w:rPr>
            </w:pPr>
            <w:r>
              <w:rPr>
                <w:lang w:val="lv-LV"/>
              </w:rPr>
              <w:t>Oskars Poikāns</w:t>
            </w:r>
          </w:p>
        </w:tc>
      </w:tr>
      <w:tr w:rsidR="00662855" w:rsidRPr="00536191" w:rsidTr="00662855">
        <w:tc>
          <w:tcPr>
            <w:tcW w:w="1611" w:type="dxa"/>
            <w:shd w:val="clear" w:color="auto" w:fill="auto"/>
          </w:tcPr>
          <w:p w:rsidR="00662855" w:rsidRPr="00536191" w:rsidRDefault="00235C4D" w:rsidP="00D0456B">
            <w:pPr>
              <w:rPr>
                <w:b/>
                <w:lang w:val="lv-LV"/>
              </w:rPr>
            </w:pPr>
            <w:r>
              <w:rPr>
                <w:b/>
                <w:lang w:val="lv-LV"/>
              </w:rPr>
              <w:t xml:space="preserve">Computer </w:t>
            </w:r>
            <w:r w:rsidR="00D6102D">
              <w:rPr>
                <w:b/>
                <w:lang w:val="lv-LV"/>
              </w:rPr>
              <w:t>Graphics</w:t>
            </w:r>
          </w:p>
        </w:tc>
        <w:tc>
          <w:tcPr>
            <w:tcW w:w="6152" w:type="dxa"/>
            <w:shd w:val="clear" w:color="auto" w:fill="auto"/>
          </w:tcPr>
          <w:p w:rsidR="00662855" w:rsidRPr="00724988" w:rsidRDefault="00724988" w:rsidP="00D6102D">
            <w:pPr>
              <w:rPr>
                <w:rFonts w:ascii="Calibri" w:hAnsi="Calibri" w:cs="Calibri"/>
                <w:color w:val="000000"/>
              </w:rPr>
            </w:pPr>
            <w:r>
              <w:rPr>
                <w:rFonts w:ascii="Calibri" w:hAnsi="Calibri" w:cs="Calibri"/>
                <w:color w:val="000000"/>
              </w:rPr>
              <w:t>Interactive, site-specific video. The idea for work comes from a chosen environment and the artwork has to be created in a way that it cannot be seperated from it's place without it losing it's meaning.</w:t>
            </w:r>
          </w:p>
        </w:tc>
        <w:tc>
          <w:tcPr>
            <w:tcW w:w="1479" w:type="dxa"/>
          </w:tcPr>
          <w:p w:rsidR="00662855" w:rsidRPr="00E70047" w:rsidRDefault="00724988" w:rsidP="00D0456B">
            <w:pPr>
              <w:rPr>
                <w:lang w:val="lv-LV"/>
              </w:rPr>
            </w:pPr>
            <w:r>
              <w:rPr>
                <w:lang w:val="lv-LV"/>
              </w:rPr>
              <w:t>Martins Vizbulis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w:t>
            </w:r>
            <w:r w:rsidRPr="004438B4">
              <w:rPr>
                <w:lang w:val="lv-LV"/>
              </w:rPr>
              <w:lastRenderedPageBreak/>
              <w:t>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75" w:rsidRDefault="00657375" w:rsidP="00471385">
      <w:pPr>
        <w:spacing w:after="0" w:line="240" w:lineRule="auto"/>
      </w:pPr>
      <w:r>
        <w:separator/>
      </w:r>
    </w:p>
  </w:endnote>
  <w:endnote w:type="continuationSeparator" w:id="0">
    <w:p w:rsidR="00657375" w:rsidRDefault="00657375"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75" w:rsidRDefault="00657375" w:rsidP="00471385">
      <w:pPr>
        <w:spacing w:after="0" w:line="240" w:lineRule="auto"/>
      </w:pPr>
      <w:r>
        <w:separator/>
      </w:r>
    </w:p>
  </w:footnote>
  <w:footnote w:type="continuationSeparator" w:id="0">
    <w:p w:rsidR="00657375" w:rsidRDefault="00657375"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35C4D"/>
    <w:rsid w:val="002453F8"/>
    <w:rsid w:val="002D7603"/>
    <w:rsid w:val="00301136"/>
    <w:rsid w:val="00310EB7"/>
    <w:rsid w:val="003833E1"/>
    <w:rsid w:val="003F7464"/>
    <w:rsid w:val="00426045"/>
    <w:rsid w:val="004438B4"/>
    <w:rsid w:val="00471385"/>
    <w:rsid w:val="004E6494"/>
    <w:rsid w:val="00507F1B"/>
    <w:rsid w:val="00513518"/>
    <w:rsid w:val="00536191"/>
    <w:rsid w:val="00566384"/>
    <w:rsid w:val="00594405"/>
    <w:rsid w:val="005C3F4D"/>
    <w:rsid w:val="00606C0D"/>
    <w:rsid w:val="006503C7"/>
    <w:rsid w:val="00657375"/>
    <w:rsid w:val="00662855"/>
    <w:rsid w:val="00670352"/>
    <w:rsid w:val="00724988"/>
    <w:rsid w:val="00732250"/>
    <w:rsid w:val="007A7F21"/>
    <w:rsid w:val="007B5E95"/>
    <w:rsid w:val="008227D5"/>
    <w:rsid w:val="00860602"/>
    <w:rsid w:val="008729FD"/>
    <w:rsid w:val="008C0012"/>
    <w:rsid w:val="008E0769"/>
    <w:rsid w:val="00902852"/>
    <w:rsid w:val="00933C39"/>
    <w:rsid w:val="0097518E"/>
    <w:rsid w:val="009D2795"/>
    <w:rsid w:val="009F1D00"/>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975BF"/>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283">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17861271">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898127368">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2508688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3427697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268956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92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58</cp:revision>
  <dcterms:created xsi:type="dcterms:W3CDTF">2022-09-22T11:46:00Z</dcterms:created>
  <dcterms:modified xsi:type="dcterms:W3CDTF">2022-12-08T08:57:00Z</dcterms:modified>
</cp:coreProperties>
</file>